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C0C6" w14:textId="70A1AB21" w:rsidR="00EC7833" w:rsidRPr="00EC7833" w:rsidRDefault="005D7879" w:rsidP="00EC7833">
      <w:pPr>
        <w:pStyle w:val="a3"/>
        <w:spacing w:before="86"/>
        <w:ind w:right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ИНФОРМАЦИЯ О </w:t>
      </w:r>
      <w:r w:rsidR="00EC7833" w:rsidRPr="00EC7833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АЛОГОВЫХ и НЕНАЛОГОВЫХ ДОХОДАХ  на 2024-202</w:t>
      </w:r>
      <w:r w:rsidR="00A74734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годы</w:t>
      </w:r>
    </w:p>
    <w:p w14:paraId="230847CB" w14:textId="77777777" w:rsidR="00EC7833" w:rsidRDefault="00EC7833" w:rsidP="00EC7833">
      <w:pPr>
        <w:pStyle w:val="ac"/>
        <w:spacing w:before="11"/>
        <w:jc w:val="center"/>
        <w:rPr>
          <w:rFonts w:ascii="Cambria"/>
          <w:sz w:val="20"/>
        </w:rPr>
      </w:pPr>
    </w:p>
    <w:p w14:paraId="30120F8B" w14:textId="62ABD97D" w:rsidR="005D7879" w:rsidRPr="005D7879" w:rsidRDefault="005D7879" w:rsidP="00EC7833">
      <w:pPr>
        <w:pStyle w:val="ac"/>
        <w:spacing w:before="1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78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 w:rsidRPr="005D7879">
        <w:rPr>
          <w:rFonts w:ascii="Times New Roman" w:hAnsi="Times New Roman" w:cs="Times New Roman"/>
          <w:b w:val="0"/>
          <w:bCs w:val="0"/>
          <w:sz w:val="28"/>
          <w:szCs w:val="28"/>
        </w:rPr>
        <w:t>тыс.руб.</w:t>
      </w:r>
    </w:p>
    <w:tbl>
      <w:tblPr>
        <w:tblStyle w:val="TableNormal"/>
        <w:tblW w:w="136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117"/>
        <w:gridCol w:w="2410"/>
        <w:gridCol w:w="2126"/>
      </w:tblGrid>
      <w:tr w:rsidR="00EC7833" w14:paraId="72F326BA" w14:textId="77777777" w:rsidTr="00EC7833">
        <w:trPr>
          <w:trHeight w:val="782"/>
        </w:trPr>
        <w:tc>
          <w:tcPr>
            <w:tcW w:w="5955" w:type="dxa"/>
          </w:tcPr>
          <w:p w14:paraId="0FB704C0" w14:textId="77777777" w:rsidR="00EC7833" w:rsidRDefault="00EC7833" w:rsidP="00BB6570">
            <w:pPr>
              <w:pStyle w:val="TableParagraph"/>
              <w:spacing w:before="67"/>
              <w:ind w:left="14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3117" w:type="dxa"/>
          </w:tcPr>
          <w:p w14:paraId="398466C0" w14:textId="1E03784C" w:rsidR="00EC7833" w:rsidRPr="005D7879" w:rsidRDefault="005D7879" w:rsidP="00BB6570">
            <w:pPr>
              <w:pStyle w:val="TableParagraph"/>
              <w:spacing w:line="386" w:lineRule="exact"/>
              <w:ind w:left="384" w:right="303" w:firstLine="249"/>
              <w:rPr>
                <w:rFonts w:ascii="Cambria" w:hAnsi="Cambria"/>
                <w:b/>
                <w:spacing w:val="-4"/>
                <w:sz w:val="28"/>
                <w:lang w:val="ru-RU"/>
              </w:rPr>
            </w:pPr>
            <w:r>
              <w:rPr>
                <w:rFonts w:ascii="Cambria" w:hAnsi="Cambria"/>
                <w:b/>
                <w:spacing w:val="-4"/>
                <w:sz w:val="28"/>
                <w:lang w:val="ru-RU"/>
              </w:rPr>
              <w:t>Проект</w:t>
            </w:r>
          </w:p>
          <w:p w14:paraId="7B3DF098" w14:textId="4E099ED1" w:rsidR="00EC7833" w:rsidRPr="005D7879" w:rsidRDefault="005D7879" w:rsidP="00BB6570">
            <w:pPr>
              <w:pStyle w:val="TableParagraph"/>
              <w:spacing w:line="386" w:lineRule="exact"/>
              <w:ind w:left="384" w:right="303" w:firstLine="249"/>
              <w:rPr>
                <w:rFonts w:ascii="Cambria" w:hAnsi="Cambria"/>
                <w:b/>
                <w:sz w:val="28"/>
                <w:lang w:val="ru-RU"/>
              </w:rPr>
            </w:pPr>
            <w:r>
              <w:rPr>
                <w:rFonts w:ascii="Cambria" w:hAnsi="Cambria"/>
                <w:b/>
                <w:sz w:val="28"/>
                <w:lang w:val="ru-RU"/>
              </w:rPr>
              <w:t xml:space="preserve"> на </w:t>
            </w:r>
            <w:r w:rsidR="00EC7833">
              <w:rPr>
                <w:rFonts w:ascii="Cambria" w:hAnsi="Cambria"/>
                <w:b/>
                <w:sz w:val="28"/>
              </w:rPr>
              <w:t>2024</w:t>
            </w:r>
            <w:r w:rsidR="00EC7833">
              <w:rPr>
                <w:rFonts w:ascii="Cambria" w:hAnsi="Cambria"/>
                <w:b/>
                <w:spacing w:val="16"/>
                <w:sz w:val="28"/>
              </w:rPr>
              <w:t xml:space="preserve"> </w:t>
            </w:r>
            <w:r w:rsidR="00EC7833">
              <w:rPr>
                <w:rFonts w:ascii="Cambria" w:hAnsi="Cambria"/>
                <w:b/>
                <w:sz w:val="28"/>
              </w:rPr>
              <w:t>год</w:t>
            </w:r>
            <w:r>
              <w:rPr>
                <w:rFonts w:ascii="Cambria" w:hAnsi="Cambria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260AAEF7" w14:textId="1A91943E" w:rsidR="00EC7833" w:rsidRPr="005D7879" w:rsidRDefault="005D7879" w:rsidP="00BB6570">
            <w:pPr>
              <w:pStyle w:val="TableParagraph"/>
              <w:spacing w:line="386" w:lineRule="exact"/>
              <w:ind w:left="271" w:right="233" w:firstLine="252"/>
              <w:rPr>
                <w:rFonts w:ascii="Cambria" w:hAnsi="Cambria"/>
                <w:b/>
                <w:spacing w:val="-4"/>
                <w:sz w:val="28"/>
                <w:lang w:val="ru-RU"/>
              </w:rPr>
            </w:pPr>
            <w:r>
              <w:rPr>
                <w:rFonts w:ascii="Cambria" w:hAnsi="Cambria"/>
                <w:b/>
                <w:spacing w:val="-4"/>
                <w:sz w:val="28"/>
                <w:lang w:val="ru-RU"/>
              </w:rPr>
              <w:t>Проект</w:t>
            </w:r>
          </w:p>
          <w:p w14:paraId="1243F5ED" w14:textId="17EB397B" w:rsidR="00EC7833" w:rsidRDefault="005D7879" w:rsidP="00BB6570">
            <w:pPr>
              <w:pStyle w:val="TableParagraph"/>
              <w:spacing w:line="386" w:lineRule="exact"/>
              <w:ind w:left="271" w:right="233" w:firstLine="252"/>
              <w:rPr>
                <w:rFonts w:ascii="Cambria" w:hAnsi="Cambria"/>
                <w:b/>
                <w:sz w:val="28"/>
              </w:rPr>
            </w:pPr>
            <w:proofErr w:type="gramStart"/>
            <w:r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на  </w:t>
            </w:r>
            <w:r w:rsidR="00EC7833">
              <w:rPr>
                <w:rFonts w:ascii="Cambria" w:hAnsi="Cambria"/>
                <w:b/>
                <w:spacing w:val="-2"/>
                <w:sz w:val="28"/>
              </w:rPr>
              <w:t>2025</w:t>
            </w:r>
            <w:proofErr w:type="gramEnd"/>
            <w:r w:rsidR="00EC7833">
              <w:rPr>
                <w:rFonts w:ascii="Cambria" w:hAnsi="Cambria"/>
                <w:b/>
                <w:spacing w:val="-14"/>
                <w:sz w:val="28"/>
              </w:rPr>
              <w:t xml:space="preserve"> </w:t>
            </w:r>
            <w:r w:rsidR="00EC7833">
              <w:rPr>
                <w:rFonts w:ascii="Cambria" w:hAnsi="Cambria"/>
                <w:b/>
                <w:spacing w:val="-2"/>
                <w:sz w:val="28"/>
              </w:rPr>
              <w:t>год</w:t>
            </w:r>
          </w:p>
        </w:tc>
        <w:tc>
          <w:tcPr>
            <w:tcW w:w="2126" w:type="dxa"/>
          </w:tcPr>
          <w:p w14:paraId="5CDBCB5D" w14:textId="694CBC11" w:rsidR="00EC7833" w:rsidRPr="005D7879" w:rsidRDefault="005D7879" w:rsidP="005D7879">
            <w:pPr>
              <w:pStyle w:val="TableParagraph"/>
              <w:spacing w:line="386" w:lineRule="exact"/>
              <w:ind w:left="271" w:right="233" w:firstLine="252"/>
              <w:jc w:val="left"/>
              <w:rPr>
                <w:rFonts w:ascii="Cambria" w:hAnsi="Cambria"/>
                <w:b/>
                <w:spacing w:val="-4"/>
                <w:sz w:val="28"/>
                <w:lang w:val="ru-RU"/>
              </w:rPr>
            </w:pPr>
            <w:r>
              <w:rPr>
                <w:rFonts w:ascii="Cambria" w:hAnsi="Cambria"/>
                <w:b/>
                <w:spacing w:val="-4"/>
                <w:sz w:val="28"/>
                <w:lang w:val="ru-RU"/>
              </w:rPr>
              <w:t>Проект</w:t>
            </w:r>
          </w:p>
          <w:p w14:paraId="543E3E91" w14:textId="084A2A41" w:rsidR="00EC7833" w:rsidRDefault="005D7879" w:rsidP="005D7879">
            <w:pPr>
              <w:pStyle w:val="TableParagraph"/>
              <w:spacing w:line="386" w:lineRule="exact"/>
              <w:ind w:right="-2"/>
              <w:jc w:val="lef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  на </w:t>
            </w:r>
            <w:r w:rsidR="00EC7833">
              <w:rPr>
                <w:rFonts w:ascii="Cambria" w:hAnsi="Cambria"/>
                <w:b/>
                <w:spacing w:val="-2"/>
                <w:sz w:val="28"/>
              </w:rPr>
              <w:t>202</w:t>
            </w:r>
            <w:r w:rsidR="00EC7833">
              <w:rPr>
                <w:rFonts w:ascii="Cambria" w:hAnsi="Cambria"/>
                <w:b/>
                <w:spacing w:val="-2"/>
                <w:sz w:val="28"/>
                <w:lang w:val="ru-RU"/>
              </w:rPr>
              <w:t>6</w:t>
            </w:r>
            <w:r w:rsidR="00EC7833">
              <w:rPr>
                <w:rFonts w:ascii="Cambria" w:hAnsi="Cambria"/>
                <w:b/>
                <w:spacing w:val="-14"/>
                <w:sz w:val="28"/>
              </w:rPr>
              <w:t xml:space="preserve"> </w:t>
            </w:r>
            <w:r w:rsidR="00EC7833">
              <w:rPr>
                <w:rFonts w:ascii="Cambria" w:hAnsi="Cambria"/>
                <w:b/>
                <w:spacing w:val="-2"/>
                <w:sz w:val="28"/>
              </w:rPr>
              <w:t>год</w:t>
            </w:r>
          </w:p>
        </w:tc>
      </w:tr>
      <w:tr w:rsidR="00EC7833" w14:paraId="644BC50D" w14:textId="77777777" w:rsidTr="00EC7833">
        <w:trPr>
          <w:trHeight w:val="765"/>
        </w:trPr>
        <w:tc>
          <w:tcPr>
            <w:tcW w:w="5955" w:type="dxa"/>
          </w:tcPr>
          <w:p w14:paraId="7521968B" w14:textId="77777777" w:rsidR="00EC7833" w:rsidRPr="005D7879" w:rsidRDefault="00EC7833" w:rsidP="005D7879">
            <w:pPr>
              <w:pStyle w:val="TableParagraph"/>
              <w:spacing w:before="200"/>
              <w:ind w:left="11"/>
              <w:jc w:val="left"/>
              <w:rPr>
                <w:rFonts w:ascii="Cambria" w:hAnsi="Cambria"/>
                <w:bCs/>
                <w:sz w:val="32"/>
              </w:rPr>
            </w:pPr>
            <w:r w:rsidRPr="005D7879">
              <w:rPr>
                <w:rFonts w:ascii="Cambria" w:hAnsi="Cambria"/>
                <w:bCs/>
                <w:spacing w:val="-2"/>
                <w:sz w:val="32"/>
              </w:rPr>
              <w:t>Налоговые</w:t>
            </w:r>
            <w:r w:rsidRPr="005D7879">
              <w:rPr>
                <w:rFonts w:ascii="Cambria" w:hAnsi="Cambria"/>
                <w:bCs/>
                <w:spacing w:val="-4"/>
                <w:sz w:val="32"/>
              </w:rPr>
              <w:t xml:space="preserve"> </w:t>
            </w:r>
            <w:r w:rsidRPr="005D7879">
              <w:rPr>
                <w:rFonts w:ascii="Cambria" w:hAnsi="Cambria"/>
                <w:bCs/>
                <w:spacing w:val="-2"/>
                <w:sz w:val="32"/>
              </w:rPr>
              <w:t>и</w:t>
            </w:r>
            <w:r w:rsidRPr="005D7879">
              <w:rPr>
                <w:rFonts w:ascii="Cambria" w:hAnsi="Cambria"/>
                <w:bCs/>
                <w:spacing w:val="-6"/>
                <w:sz w:val="32"/>
              </w:rPr>
              <w:t xml:space="preserve"> </w:t>
            </w:r>
            <w:r w:rsidRPr="005D7879">
              <w:rPr>
                <w:rFonts w:ascii="Cambria" w:hAnsi="Cambria"/>
                <w:bCs/>
                <w:spacing w:val="-2"/>
                <w:sz w:val="32"/>
              </w:rPr>
              <w:t>неналоговые доходы</w:t>
            </w:r>
          </w:p>
        </w:tc>
        <w:tc>
          <w:tcPr>
            <w:tcW w:w="3117" w:type="dxa"/>
          </w:tcPr>
          <w:p w14:paraId="24993EC5" w14:textId="77777777" w:rsidR="00EC7833" w:rsidRDefault="00EC7833" w:rsidP="005D7879">
            <w:pPr>
              <w:pStyle w:val="TableParagraph"/>
              <w:spacing w:before="200"/>
              <w:ind w:left="23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196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563,7</w:t>
            </w:r>
          </w:p>
        </w:tc>
        <w:tc>
          <w:tcPr>
            <w:tcW w:w="2410" w:type="dxa"/>
          </w:tcPr>
          <w:p w14:paraId="2609D12D" w14:textId="77777777" w:rsidR="00EC7833" w:rsidRDefault="00EC7833" w:rsidP="005D7879">
            <w:pPr>
              <w:pStyle w:val="TableParagraph"/>
              <w:spacing w:before="200"/>
              <w:ind w:left="27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158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092,0</w:t>
            </w:r>
          </w:p>
        </w:tc>
        <w:tc>
          <w:tcPr>
            <w:tcW w:w="2126" w:type="dxa"/>
          </w:tcPr>
          <w:p w14:paraId="61AA7B5F" w14:textId="77777777" w:rsidR="00EC7833" w:rsidRDefault="00EC7833" w:rsidP="005D7879">
            <w:pPr>
              <w:pStyle w:val="TableParagraph"/>
              <w:spacing w:before="200"/>
              <w:ind w:left="29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176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917,6</w:t>
            </w:r>
          </w:p>
        </w:tc>
      </w:tr>
      <w:tr w:rsidR="00EC7833" w14:paraId="3802B5B3" w14:textId="77777777" w:rsidTr="00EC7833">
        <w:trPr>
          <w:trHeight w:val="547"/>
        </w:trPr>
        <w:tc>
          <w:tcPr>
            <w:tcW w:w="5955" w:type="dxa"/>
          </w:tcPr>
          <w:p w14:paraId="49D35FE2" w14:textId="77777777" w:rsidR="00EC7833" w:rsidRPr="005D7879" w:rsidRDefault="00EC7833" w:rsidP="005D7879">
            <w:pPr>
              <w:pStyle w:val="TableParagraph"/>
              <w:spacing w:before="91"/>
              <w:ind w:left="11"/>
              <w:jc w:val="left"/>
              <w:rPr>
                <w:rFonts w:ascii="Cambria" w:hAnsi="Cambria"/>
                <w:bCs/>
                <w:sz w:val="32"/>
              </w:rPr>
            </w:pPr>
            <w:r w:rsidRPr="005D7879">
              <w:rPr>
                <w:rFonts w:ascii="Cambria" w:hAnsi="Cambria"/>
                <w:bCs/>
                <w:spacing w:val="-2"/>
                <w:sz w:val="32"/>
              </w:rPr>
              <w:t>Налоговые</w:t>
            </w:r>
            <w:r w:rsidRPr="005D7879">
              <w:rPr>
                <w:rFonts w:ascii="Cambria" w:hAnsi="Cambria"/>
                <w:bCs/>
                <w:spacing w:val="-6"/>
                <w:sz w:val="32"/>
              </w:rPr>
              <w:t xml:space="preserve"> </w:t>
            </w:r>
            <w:r w:rsidRPr="005D7879">
              <w:rPr>
                <w:rFonts w:ascii="Cambria" w:hAnsi="Cambria"/>
                <w:bCs/>
                <w:spacing w:val="-2"/>
                <w:sz w:val="32"/>
              </w:rPr>
              <w:t>доходы</w:t>
            </w:r>
          </w:p>
        </w:tc>
        <w:tc>
          <w:tcPr>
            <w:tcW w:w="3117" w:type="dxa"/>
          </w:tcPr>
          <w:p w14:paraId="4D124AFA" w14:textId="77777777" w:rsidR="00EC7833" w:rsidRDefault="00EC7833" w:rsidP="005D7879">
            <w:pPr>
              <w:pStyle w:val="TableParagraph"/>
              <w:spacing w:before="91"/>
              <w:ind w:left="23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184 013,35</w:t>
            </w:r>
          </w:p>
        </w:tc>
        <w:tc>
          <w:tcPr>
            <w:tcW w:w="2410" w:type="dxa"/>
          </w:tcPr>
          <w:p w14:paraId="51D3258C" w14:textId="77777777" w:rsidR="00EC7833" w:rsidRDefault="00EC7833" w:rsidP="005D7879">
            <w:pPr>
              <w:pStyle w:val="TableParagraph"/>
              <w:spacing w:before="91"/>
              <w:ind w:left="27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148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943,2</w:t>
            </w:r>
          </w:p>
        </w:tc>
        <w:tc>
          <w:tcPr>
            <w:tcW w:w="2126" w:type="dxa"/>
          </w:tcPr>
          <w:p w14:paraId="2C5445B3" w14:textId="77777777" w:rsidR="00EC7833" w:rsidRDefault="00EC7833" w:rsidP="005D7879">
            <w:pPr>
              <w:pStyle w:val="TableParagraph"/>
              <w:spacing w:before="91"/>
              <w:ind w:left="29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167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702,1</w:t>
            </w:r>
          </w:p>
        </w:tc>
      </w:tr>
      <w:tr w:rsidR="00EC7833" w14:paraId="52AE46BA" w14:textId="77777777" w:rsidTr="00EC7833">
        <w:trPr>
          <w:trHeight w:val="546"/>
        </w:trPr>
        <w:tc>
          <w:tcPr>
            <w:tcW w:w="5955" w:type="dxa"/>
          </w:tcPr>
          <w:p w14:paraId="5B016D6A" w14:textId="4A80AAFC" w:rsidR="00EC7833" w:rsidRPr="005D7879" w:rsidRDefault="005D7879" w:rsidP="005D7879">
            <w:pPr>
              <w:pStyle w:val="TableParagraph"/>
              <w:spacing w:before="91"/>
              <w:ind w:left="11"/>
              <w:jc w:val="left"/>
              <w:rPr>
                <w:rFonts w:ascii="Cambria" w:hAnsi="Cambria"/>
                <w:bCs/>
                <w:sz w:val="32"/>
              </w:rPr>
            </w:pPr>
            <w:r>
              <w:rPr>
                <w:rFonts w:ascii="Cambria" w:hAnsi="Cambria"/>
                <w:bCs/>
                <w:spacing w:val="-4"/>
                <w:sz w:val="32"/>
                <w:lang w:val="ru-RU"/>
              </w:rPr>
              <w:t xml:space="preserve">в </w:t>
            </w:r>
            <w:r w:rsidR="00EC7833" w:rsidRPr="005D7879">
              <w:rPr>
                <w:rFonts w:ascii="Cambria" w:hAnsi="Cambria"/>
                <w:bCs/>
                <w:spacing w:val="-4"/>
                <w:sz w:val="32"/>
              </w:rPr>
              <w:t>т.ч.</w:t>
            </w:r>
            <w:r w:rsidR="00EC7833" w:rsidRPr="005D7879">
              <w:rPr>
                <w:rFonts w:ascii="Cambria" w:hAnsi="Cambria"/>
                <w:bCs/>
                <w:spacing w:val="-11"/>
                <w:sz w:val="32"/>
              </w:rPr>
              <w:t xml:space="preserve"> </w:t>
            </w:r>
            <w:r w:rsidR="00EC7833" w:rsidRPr="005D7879">
              <w:rPr>
                <w:rFonts w:ascii="Cambria" w:hAnsi="Cambria"/>
                <w:bCs/>
                <w:spacing w:val="-4"/>
                <w:sz w:val="32"/>
              </w:rPr>
              <w:t>НДФЛ</w:t>
            </w:r>
          </w:p>
        </w:tc>
        <w:tc>
          <w:tcPr>
            <w:tcW w:w="3117" w:type="dxa"/>
          </w:tcPr>
          <w:p w14:paraId="60CF7018" w14:textId="77777777" w:rsidR="00EC7833" w:rsidRDefault="00EC7833" w:rsidP="005D7879">
            <w:pPr>
              <w:pStyle w:val="TableParagraph"/>
              <w:spacing w:before="91"/>
              <w:ind w:left="23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121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916,9</w:t>
            </w:r>
          </w:p>
        </w:tc>
        <w:tc>
          <w:tcPr>
            <w:tcW w:w="2410" w:type="dxa"/>
          </w:tcPr>
          <w:p w14:paraId="110C3AD6" w14:textId="77777777" w:rsidR="00EC7833" w:rsidRDefault="00EC7833" w:rsidP="005D7879">
            <w:pPr>
              <w:pStyle w:val="TableParagraph"/>
              <w:spacing w:before="91"/>
              <w:ind w:left="27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117 983,1</w:t>
            </w:r>
          </w:p>
        </w:tc>
        <w:tc>
          <w:tcPr>
            <w:tcW w:w="2126" w:type="dxa"/>
          </w:tcPr>
          <w:p w14:paraId="1D39EFB9" w14:textId="77777777" w:rsidR="00EC7833" w:rsidRDefault="00EC7833" w:rsidP="005D7879">
            <w:pPr>
              <w:pStyle w:val="TableParagraph"/>
              <w:spacing w:before="91"/>
              <w:ind w:left="29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136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415,1</w:t>
            </w:r>
          </w:p>
        </w:tc>
      </w:tr>
      <w:tr w:rsidR="00EC7833" w14:paraId="30627785" w14:textId="77777777" w:rsidTr="00EC7833">
        <w:trPr>
          <w:trHeight w:val="756"/>
        </w:trPr>
        <w:tc>
          <w:tcPr>
            <w:tcW w:w="5955" w:type="dxa"/>
          </w:tcPr>
          <w:p w14:paraId="02DC2218" w14:textId="77777777" w:rsidR="00EC7833" w:rsidRPr="005D7879" w:rsidRDefault="00EC7833" w:rsidP="005D7879">
            <w:pPr>
              <w:pStyle w:val="TableParagraph"/>
              <w:spacing w:before="196"/>
              <w:ind w:left="11"/>
              <w:jc w:val="left"/>
              <w:rPr>
                <w:rFonts w:ascii="Cambria" w:hAnsi="Cambria"/>
                <w:bCs/>
                <w:sz w:val="32"/>
              </w:rPr>
            </w:pPr>
            <w:r w:rsidRPr="005D7879">
              <w:rPr>
                <w:rFonts w:ascii="Cambria" w:hAnsi="Cambria"/>
                <w:bCs/>
                <w:spacing w:val="-2"/>
                <w:sz w:val="32"/>
              </w:rPr>
              <w:t>Неналоговые</w:t>
            </w:r>
            <w:r w:rsidRPr="005D7879">
              <w:rPr>
                <w:rFonts w:ascii="Cambria" w:hAnsi="Cambria"/>
                <w:bCs/>
                <w:spacing w:val="-7"/>
                <w:sz w:val="32"/>
              </w:rPr>
              <w:t xml:space="preserve"> </w:t>
            </w:r>
            <w:r w:rsidRPr="005D7879">
              <w:rPr>
                <w:rFonts w:ascii="Cambria" w:hAnsi="Cambria"/>
                <w:bCs/>
                <w:spacing w:val="-2"/>
                <w:sz w:val="32"/>
              </w:rPr>
              <w:t>доходы</w:t>
            </w:r>
          </w:p>
        </w:tc>
        <w:tc>
          <w:tcPr>
            <w:tcW w:w="3117" w:type="dxa"/>
          </w:tcPr>
          <w:p w14:paraId="5214A1FF" w14:textId="77777777" w:rsidR="00EC7833" w:rsidRDefault="00EC7833" w:rsidP="005D7879">
            <w:pPr>
              <w:pStyle w:val="TableParagraph"/>
              <w:spacing w:before="196"/>
              <w:ind w:left="23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12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550,35</w:t>
            </w:r>
          </w:p>
        </w:tc>
        <w:tc>
          <w:tcPr>
            <w:tcW w:w="2410" w:type="dxa"/>
          </w:tcPr>
          <w:p w14:paraId="7C97A514" w14:textId="77777777" w:rsidR="00EC7833" w:rsidRDefault="00EC7833" w:rsidP="005D7879">
            <w:pPr>
              <w:pStyle w:val="TableParagraph"/>
              <w:spacing w:before="196"/>
              <w:ind w:left="27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9 148,80</w:t>
            </w:r>
          </w:p>
        </w:tc>
        <w:tc>
          <w:tcPr>
            <w:tcW w:w="2126" w:type="dxa"/>
          </w:tcPr>
          <w:p w14:paraId="60A4E141" w14:textId="77777777" w:rsidR="00EC7833" w:rsidRDefault="00EC7833" w:rsidP="005D7879">
            <w:pPr>
              <w:pStyle w:val="TableParagraph"/>
              <w:spacing w:before="196"/>
              <w:ind w:left="29" w:right="1"/>
              <w:rPr>
                <w:rFonts w:ascii="Cambria"/>
                <w:sz w:val="32"/>
              </w:rPr>
            </w:pPr>
            <w:r>
              <w:rPr>
                <w:rFonts w:ascii="Cambria"/>
                <w:sz w:val="32"/>
              </w:rPr>
              <w:t>9</w:t>
            </w:r>
            <w:r>
              <w:rPr>
                <w:rFonts w:ascii="Cambria"/>
                <w:sz w:val="32"/>
              </w:rPr>
              <w:t> </w:t>
            </w:r>
            <w:r>
              <w:rPr>
                <w:rFonts w:ascii="Cambria"/>
                <w:sz w:val="32"/>
              </w:rPr>
              <w:t>215,5</w:t>
            </w:r>
          </w:p>
        </w:tc>
      </w:tr>
      <w:tr w:rsidR="005D7879" w14:paraId="41706244" w14:textId="77777777" w:rsidTr="005D7879">
        <w:trPr>
          <w:trHeight w:val="675"/>
        </w:trPr>
        <w:tc>
          <w:tcPr>
            <w:tcW w:w="13608" w:type="dxa"/>
            <w:gridSpan w:val="4"/>
          </w:tcPr>
          <w:p w14:paraId="2416C590" w14:textId="77777777" w:rsidR="0010769A" w:rsidRPr="0010769A" w:rsidRDefault="0010769A" w:rsidP="005D7879">
            <w:pPr>
              <w:jc w:val="center"/>
              <w:rPr>
                <w:sz w:val="10"/>
                <w:szCs w:val="10"/>
                <w:lang w:val="ru-RU"/>
              </w:rPr>
            </w:pPr>
          </w:p>
          <w:p w14:paraId="0D2AE3C3" w14:textId="35A55E13" w:rsidR="005D7879" w:rsidRDefault="005D7879" w:rsidP="005D7879">
            <w:pPr>
              <w:jc w:val="center"/>
              <w:rPr>
                <w:rFonts w:ascii="Cambria"/>
                <w:sz w:val="32"/>
              </w:rPr>
            </w:pPr>
            <w:r w:rsidRPr="00EC7833">
              <w:rPr>
                <w:sz w:val="40"/>
                <w:szCs w:val="40"/>
              </w:rPr>
              <w:t>БЕЗВОЗМЕЗДНЫЕ ПОСТУПЛЕНИЯ</w:t>
            </w:r>
          </w:p>
        </w:tc>
      </w:tr>
      <w:tr w:rsidR="005D7879" w14:paraId="17CDBA4E" w14:textId="77777777" w:rsidTr="00EC7833">
        <w:trPr>
          <w:trHeight w:val="756"/>
        </w:trPr>
        <w:tc>
          <w:tcPr>
            <w:tcW w:w="5955" w:type="dxa"/>
          </w:tcPr>
          <w:p w14:paraId="0F76ADE9" w14:textId="73DF22CB" w:rsidR="005D7879" w:rsidRPr="005D7879" w:rsidRDefault="005D7879" w:rsidP="005D7879">
            <w:pPr>
              <w:pStyle w:val="TableParagraph"/>
              <w:spacing w:before="196"/>
              <w:ind w:left="11"/>
              <w:jc w:val="left"/>
              <w:rPr>
                <w:rFonts w:ascii="Cambria" w:hAnsi="Cambria"/>
                <w:bCs/>
                <w:spacing w:val="-2"/>
                <w:sz w:val="32"/>
                <w:szCs w:val="32"/>
              </w:rPr>
            </w:pPr>
            <w:r w:rsidRPr="005D7879">
              <w:rPr>
                <w:rFonts w:ascii="Cambria" w:hAnsi="Cambria"/>
                <w:sz w:val="32"/>
                <w:szCs w:val="32"/>
              </w:rPr>
              <w:t>Субсидии бюджетам муниципальных районов </w:t>
            </w:r>
          </w:p>
        </w:tc>
        <w:tc>
          <w:tcPr>
            <w:tcW w:w="3117" w:type="dxa"/>
          </w:tcPr>
          <w:p w14:paraId="56FA8A00" w14:textId="5E7165EF" w:rsidR="005D7879" w:rsidRPr="005D7879" w:rsidRDefault="005D7879" w:rsidP="005D7879">
            <w:pPr>
              <w:pStyle w:val="TableParagraph"/>
              <w:spacing w:before="196"/>
              <w:ind w:left="23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2"/>
                <w:sz w:val="32"/>
                <w:szCs w:val="32"/>
              </w:rPr>
              <w:t>837 961,42</w:t>
            </w:r>
          </w:p>
        </w:tc>
        <w:tc>
          <w:tcPr>
            <w:tcW w:w="2410" w:type="dxa"/>
          </w:tcPr>
          <w:p w14:paraId="648D1157" w14:textId="3F60700B" w:rsidR="005D7879" w:rsidRPr="005D7879" w:rsidRDefault="005D7879" w:rsidP="005D7879">
            <w:pPr>
              <w:pStyle w:val="TableParagraph"/>
              <w:spacing w:before="196"/>
              <w:ind w:left="27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z w:val="32"/>
                <w:szCs w:val="32"/>
              </w:rPr>
              <w:t>756 015,39</w:t>
            </w:r>
          </w:p>
        </w:tc>
        <w:tc>
          <w:tcPr>
            <w:tcW w:w="2126" w:type="dxa"/>
          </w:tcPr>
          <w:p w14:paraId="12DF33AA" w14:textId="71B73740" w:rsidR="005D7879" w:rsidRPr="005D7879" w:rsidRDefault="005D7879" w:rsidP="005D7879">
            <w:pPr>
              <w:pStyle w:val="TableParagraph"/>
              <w:spacing w:before="196"/>
              <w:ind w:left="29" w:right="1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2"/>
                <w:sz w:val="32"/>
                <w:szCs w:val="32"/>
              </w:rPr>
              <w:t>361 327,20</w:t>
            </w:r>
          </w:p>
        </w:tc>
      </w:tr>
      <w:tr w:rsidR="005D7879" w14:paraId="1C4DEBD9" w14:textId="77777777" w:rsidTr="00EC7833">
        <w:trPr>
          <w:trHeight w:val="756"/>
        </w:trPr>
        <w:tc>
          <w:tcPr>
            <w:tcW w:w="5955" w:type="dxa"/>
          </w:tcPr>
          <w:p w14:paraId="4A7108FE" w14:textId="5246B756" w:rsidR="005D7879" w:rsidRPr="005D7879" w:rsidRDefault="005D7879" w:rsidP="005D7879">
            <w:pPr>
              <w:pStyle w:val="TableParagraph"/>
              <w:spacing w:before="196"/>
              <w:ind w:left="11"/>
              <w:jc w:val="left"/>
              <w:rPr>
                <w:rFonts w:ascii="Cambria" w:hAnsi="Cambria"/>
                <w:bCs/>
                <w:spacing w:val="-2"/>
                <w:sz w:val="32"/>
                <w:szCs w:val="32"/>
              </w:rPr>
            </w:pPr>
            <w:r w:rsidRPr="005D7879">
              <w:rPr>
                <w:rFonts w:ascii="Cambria" w:hAnsi="Cambria"/>
                <w:sz w:val="32"/>
                <w:szCs w:val="32"/>
              </w:rPr>
              <w:t>Субвенции бюджетам муниципальных районов </w:t>
            </w:r>
          </w:p>
        </w:tc>
        <w:tc>
          <w:tcPr>
            <w:tcW w:w="3117" w:type="dxa"/>
          </w:tcPr>
          <w:p w14:paraId="6D72DD20" w14:textId="1CCF899D" w:rsidR="005D7879" w:rsidRPr="005D7879" w:rsidRDefault="005D7879" w:rsidP="005D7879">
            <w:pPr>
              <w:pStyle w:val="TableParagraph"/>
              <w:spacing w:before="196"/>
              <w:ind w:left="23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4"/>
                <w:sz w:val="32"/>
                <w:szCs w:val="32"/>
              </w:rPr>
              <w:t>406 777,88</w:t>
            </w:r>
          </w:p>
        </w:tc>
        <w:tc>
          <w:tcPr>
            <w:tcW w:w="2410" w:type="dxa"/>
          </w:tcPr>
          <w:p w14:paraId="6A9A0132" w14:textId="60DF0D25" w:rsidR="005D7879" w:rsidRPr="005D7879" w:rsidRDefault="005D7879" w:rsidP="005D7879">
            <w:pPr>
              <w:pStyle w:val="TableParagraph"/>
              <w:spacing w:before="196"/>
              <w:ind w:left="27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4"/>
                <w:sz w:val="32"/>
                <w:szCs w:val="32"/>
              </w:rPr>
              <w:t>405 009,83</w:t>
            </w:r>
          </w:p>
        </w:tc>
        <w:tc>
          <w:tcPr>
            <w:tcW w:w="2126" w:type="dxa"/>
          </w:tcPr>
          <w:p w14:paraId="312CBCA6" w14:textId="68083EB9" w:rsidR="005D7879" w:rsidRPr="005D7879" w:rsidRDefault="005D7879" w:rsidP="005D7879">
            <w:pPr>
              <w:pStyle w:val="TableParagraph"/>
              <w:spacing w:before="196"/>
              <w:ind w:left="29" w:right="1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4"/>
                <w:sz w:val="32"/>
                <w:szCs w:val="32"/>
              </w:rPr>
              <w:t>402 623,20</w:t>
            </w:r>
          </w:p>
        </w:tc>
      </w:tr>
      <w:tr w:rsidR="005D7879" w14:paraId="0897E8E2" w14:textId="77777777" w:rsidTr="00EC7833">
        <w:trPr>
          <w:trHeight w:val="756"/>
        </w:trPr>
        <w:tc>
          <w:tcPr>
            <w:tcW w:w="5955" w:type="dxa"/>
          </w:tcPr>
          <w:p w14:paraId="745D9881" w14:textId="7DF4462A" w:rsidR="005D7879" w:rsidRPr="005D7879" w:rsidRDefault="005D7879" w:rsidP="005D7879">
            <w:pPr>
              <w:pStyle w:val="TableParagraph"/>
              <w:spacing w:before="196"/>
              <w:ind w:left="11"/>
              <w:jc w:val="left"/>
              <w:rPr>
                <w:rFonts w:ascii="Cambria" w:hAnsi="Cambria"/>
                <w:bCs/>
                <w:spacing w:val="-2"/>
                <w:sz w:val="32"/>
                <w:szCs w:val="32"/>
              </w:rPr>
            </w:pPr>
            <w:r w:rsidRPr="005D7879">
              <w:rPr>
                <w:rFonts w:ascii="Cambria" w:hAnsi="Cambria"/>
                <w:sz w:val="32"/>
                <w:szCs w:val="32"/>
              </w:rPr>
              <w:t>Иные межбюджетные трансферты</w:t>
            </w:r>
          </w:p>
        </w:tc>
        <w:tc>
          <w:tcPr>
            <w:tcW w:w="3117" w:type="dxa"/>
          </w:tcPr>
          <w:p w14:paraId="45B0814D" w14:textId="1F5B29D5" w:rsidR="005D7879" w:rsidRPr="005D7879" w:rsidRDefault="005D7879" w:rsidP="005D7879">
            <w:pPr>
              <w:pStyle w:val="TableParagraph"/>
              <w:spacing w:before="196"/>
              <w:ind w:left="23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5"/>
                <w:sz w:val="32"/>
                <w:szCs w:val="32"/>
              </w:rPr>
              <w:t>110 822,58</w:t>
            </w:r>
          </w:p>
        </w:tc>
        <w:tc>
          <w:tcPr>
            <w:tcW w:w="2410" w:type="dxa"/>
          </w:tcPr>
          <w:p w14:paraId="1F5D4B4E" w14:textId="07609611" w:rsidR="005D7879" w:rsidRPr="005D7879" w:rsidRDefault="005D7879" w:rsidP="005D7879">
            <w:pPr>
              <w:pStyle w:val="TableParagraph"/>
              <w:spacing w:before="196"/>
              <w:ind w:left="27"/>
              <w:rPr>
                <w:rFonts w:ascii="Cambria" w:hAnsi="Cambria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5"/>
                <w:sz w:val="32"/>
                <w:szCs w:val="32"/>
              </w:rPr>
              <w:t>66 739,1</w:t>
            </w:r>
          </w:p>
        </w:tc>
        <w:tc>
          <w:tcPr>
            <w:tcW w:w="2126" w:type="dxa"/>
          </w:tcPr>
          <w:p w14:paraId="2E92C0DE" w14:textId="77777777" w:rsidR="005D7879" w:rsidRPr="005D7879" w:rsidRDefault="005D7879" w:rsidP="005D7879">
            <w:pPr>
              <w:pStyle w:val="TableParagraph"/>
              <w:spacing w:before="16"/>
              <w:ind w:left="33" w:right="15"/>
              <w:rPr>
                <w:rFonts w:ascii="Cambria" w:hAnsi="Cambria"/>
                <w:spacing w:val="-5"/>
                <w:sz w:val="10"/>
                <w:szCs w:val="10"/>
                <w:lang w:val="ru-RU"/>
              </w:rPr>
            </w:pPr>
          </w:p>
          <w:p w14:paraId="1F69BACE" w14:textId="0E5A0587" w:rsidR="005D7879" w:rsidRPr="005D7879" w:rsidRDefault="005D7879" w:rsidP="005D7879">
            <w:pPr>
              <w:pStyle w:val="TableParagraph"/>
              <w:spacing w:before="16"/>
              <w:ind w:left="33" w:right="15"/>
              <w:rPr>
                <w:rFonts w:ascii="Cambria" w:hAnsi="Cambria"/>
                <w:spacing w:val="-5"/>
                <w:sz w:val="32"/>
                <w:szCs w:val="32"/>
              </w:rPr>
            </w:pPr>
            <w:r w:rsidRPr="005D7879">
              <w:rPr>
                <w:rFonts w:ascii="Cambria" w:hAnsi="Cambria"/>
                <w:spacing w:val="-5"/>
                <w:sz w:val="32"/>
                <w:szCs w:val="32"/>
              </w:rPr>
              <w:t>78 177,63</w:t>
            </w:r>
          </w:p>
          <w:p w14:paraId="591EAB21" w14:textId="77777777" w:rsidR="005D7879" w:rsidRPr="005D7879" w:rsidRDefault="005D7879" w:rsidP="005D7879">
            <w:pPr>
              <w:pStyle w:val="TableParagraph"/>
              <w:spacing w:before="196"/>
              <w:ind w:left="29" w:right="1"/>
              <w:rPr>
                <w:rFonts w:ascii="Cambria" w:hAnsi="Cambria"/>
                <w:sz w:val="32"/>
                <w:szCs w:val="32"/>
              </w:rPr>
            </w:pPr>
          </w:p>
        </w:tc>
      </w:tr>
    </w:tbl>
    <w:p w14:paraId="0CF6B1D3" w14:textId="77777777" w:rsidR="00EC7833" w:rsidRDefault="00EC7833" w:rsidP="00EC7833">
      <w:pPr>
        <w:spacing w:before="11"/>
        <w:rPr>
          <w:sz w:val="10"/>
        </w:rPr>
      </w:pPr>
    </w:p>
    <w:p w14:paraId="44E8D2F4" w14:textId="77777777" w:rsidR="00EC7833" w:rsidRDefault="00EC7833"/>
    <w:sectPr w:rsidR="00EC7833" w:rsidSect="00EC7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E7"/>
    <w:rsid w:val="000E1360"/>
    <w:rsid w:val="0010769A"/>
    <w:rsid w:val="00290E31"/>
    <w:rsid w:val="00291D68"/>
    <w:rsid w:val="004C2BE7"/>
    <w:rsid w:val="005D7879"/>
    <w:rsid w:val="009F4878"/>
    <w:rsid w:val="00A74734"/>
    <w:rsid w:val="00DE1246"/>
    <w:rsid w:val="00E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9F3"/>
  <w15:chartTrackingRefBased/>
  <w15:docId w15:val="{8C5FA9FE-52F2-45B1-889D-AFCFA5E1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B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B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B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B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B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B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B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B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B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2B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B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C2B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BE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2B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2BE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78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C7833"/>
    <w:rPr>
      <w:rFonts w:ascii="Calibri" w:eastAsia="Calibri" w:hAnsi="Calibri" w:cs="Calibri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EC7833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EC783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2025-03-25T00:19:00Z</cp:lastPrinted>
  <dcterms:created xsi:type="dcterms:W3CDTF">2025-03-25T00:14:00Z</dcterms:created>
  <dcterms:modified xsi:type="dcterms:W3CDTF">2025-03-25T02:36:00Z</dcterms:modified>
</cp:coreProperties>
</file>